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410"/>
        <w:gridCol w:w="2552"/>
        <w:gridCol w:w="23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职业功能</w:t>
            </w:r>
          </w:p>
        </w:tc>
        <w:tc>
          <w:tcPr>
            <w:tcW w:w="2410" w:type="dxa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工作内容</w:t>
            </w:r>
          </w:p>
        </w:tc>
        <w:tc>
          <w:tcPr>
            <w:tcW w:w="2552" w:type="dxa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kern w:val="0"/>
                <w:sz w:val="24"/>
              </w:rPr>
              <w:t>能力要求</w:t>
            </w:r>
          </w:p>
        </w:tc>
        <w:tc>
          <w:tcPr>
            <w:tcW w:w="2318" w:type="dxa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kern w:val="0"/>
                <w:sz w:val="22"/>
              </w:rPr>
              <w:t>相关理论和知识要求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思想政治教育</w:t>
            </w:r>
          </w:p>
        </w:tc>
        <w:tc>
          <w:tcPr>
            <w:tcW w:w="2410" w:type="dxa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(</w:t>
            </w:r>
            <w:r>
              <w:rPr>
                <w:rFonts w:hint="eastAsia" w:ascii="Times New Roman" w:hAnsi="Times New Roman" w:eastAsia="仿宋_GB2312"/>
                <w:sz w:val="24"/>
              </w:rPr>
              <w:t>一</w:t>
            </w:r>
            <w:r>
              <w:rPr>
                <w:rFonts w:ascii="Times New Roman" w:hAnsi="Times New Roman" w:eastAsia="仿宋_GB2312"/>
                <w:sz w:val="24"/>
              </w:rPr>
              <w:t>)</w:t>
            </w:r>
            <w:r>
              <w:rPr>
                <w:rFonts w:hint="eastAsia" w:ascii="Times New Roman" w:hAnsi="Times New Roman" w:eastAsia="仿宋_GB2312"/>
                <w:sz w:val="24"/>
              </w:rPr>
              <w:t>主动思考研究，掌握思想政治教育的重点和一般规律，提高学生思想政治教育针对性和实效性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(</w:t>
            </w:r>
            <w:r>
              <w:rPr>
                <w:rFonts w:hint="eastAsia" w:ascii="Times New Roman" w:hAnsi="Times New Roman" w:eastAsia="仿宋_GB2312"/>
                <w:sz w:val="24"/>
              </w:rPr>
              <w:t>二</w:t>
            </w:r>
            <w:r>
              <w:rPr>
                <w:rFonts w:ascii="Times New Roman" w:hAnsi="Times New Roman" w:eastAsia="仿宋_GB2312"/>
                <w:sz w:val="24"/>
              </w:rPr>
              <w:t>)</w:t>
            </w:r>
            <w:r>
              <w:rPr>
                <w:rFonts w:hint="eastAsia" w:ascii="Times New Roman" w:hAnsi="Times New Roman" w:eastAsia="仿宋_GB2312"/>
                <w:sz w:val="24"/>
              </w:rPr>
              <w:t>开展工作调查研究，调整工作思路和方法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(</w:t>
            </w:r>
            <w:r>
              <w:rPr>
                <w:rFonts w:hint="eastAsia" w:ascii="Times New Roman" w:hAnsi="Times New Roman" w:eastAsia="仿宋_GB2312"/>
                <w:sz w:val="24"/>
              </w:rPr>
              <w:t>三</w:t>
            </w:r>
            <w:r>
              <w:rPr>
                <w:rFonts w:ascii="Times New Roman" w:hAnsi="Times New Roman" w:eastAsia="仿宋_GB2312"/>
                <w:sz w:val="24"/>
              </w:rPr>
              <w:t>)</w:t>
            </w:r>
            <w:r>
              <w:rPr>
                <w:rFonts w:hint="eastAsia" w:ascii="Times New Roman" w:hAnsi="Times New Roman" w:eastAsia="仿宋_GB2312"/>
                <w:sz w:val="24"/>
              </w:rPr>
              <w:t>研究把握思想政治教育规律性、前沿性问题，成为思想政治教育专家</w:t>
            </w:r>
            <w:r>
              <w:rPr>
                <w:rFonts w:ascii="Times New Roman" w:hAnsi="Times New Roman" w:eastAsia="仿宋_GB2312"/>
                <w:sz w:val="24"/>
              </w:rPr>
              <w:t>*</w:t>
            </w:r>
            <w:r>
              <w:rPr>
                <w:rStyle w:val="5"/>
                <w:rFonts w:ascii="Times New Roman" w:hAnsi="Times New Roman" w:eastAsia="仿宋_GB2312"/>
                <w:sz w:val="24"/>
              </w:rPr>
              <w:footnoteReference w:id="0"/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52" w:type="dxa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能根据党的教育方针和高等教育发展要求，结合学生的阶段特征，按照学校育人工作的总体要求，有计划、有目的地系统实施学生思想政治教育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能开展思想政治教育工作理论与方法的调查和研究，分析工作对象和条件的变化，及时调整工作思路和方法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对马克思主义理论和思想政治教育有深入的研究，具有相关专业的学位或具有长期的丰富工作经验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能运用现代科学技术，并借鉴其他交叉学科的优势，实施思想政治教育工作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在具有影响力的学术期刊以第一作者身份发表5篇以上思想政治教育学术论文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能够熟练利用理论指导辅导员工作的开展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能讲授思想政治教育公共选修课</w:t>
            </w:r>
          </w:p>
        </w:tc>
        <w:tc>
          <w:tcPr>
            <w:tcW w:w="2318" w:type="dxa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思想政治教育学理论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思想政治教育方法论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开展科学调查研究的方法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马克思主义理论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中国特色社会主义理论体系内涵及宣传教育的方法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社会主义核心价值体系内涵及宣传教育方法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思想政治道德观相关理论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思想政治教育学史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比较思想政治教育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现代科学技术在思想政治教育中的应用方法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党团建设</w:t>
            </w:r>
          </w:p>
        </w:tc>
        <w:tc>
          <w:tcPr>
            <w:tcW w:w="2410" w:type="dxa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深入研究高校党建的规律性前沿性问题，成为党建专家</w:t>
            </w:r>
            <w:r>
              <w:rPr>
                <w:rFonts w:ascii="Times New Roman" w:hAnsi="Times New Roman" w:eastAsia="仿宋_GB2312"/>
                <w:sz w:val="24"/>
              </w:rPr>
              <w:t>*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对马克思主义理论、中华人民共和国史、中国共产党史、中国特色社会主义理论、党建创新理论有深入的研究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在具有影响力的学术期刊以第一作者身份发表</w:t>
            </w:r>
            <w:r>
              <w:rPr>
                <w:rFonts w:ascii="Times New Roman" w:hAnsi="Times New Roman" w:eastAsia="仿宋_GB2312"/>
                <w:sz w:val="24"/>
              </w:rPr>
              <w:t>5</w:t>
            </w:r>
            <w:r>
              <w:rPr>
                <w:rFonts w:hint="eastAsia" w:ascii="Times New Roman" w:hAnsi="Times New Roman" w:eastAsia="仿宋_GB2312"/>
                <w:sz w:val="24"/>
              </w:rPr>
              <w:t>篇以上党建工作学术论文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能够熟练利用理论指导初级、中级辅导员开展党建工作</w:t>
            </w:r>
          </w:p>
        </w:tc>
        <w:tc>
          <w:tcPr>
            <w:tcW w:w="2318" w:type="dxa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马克思主义理论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中华人民共和国史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中国共产党史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中国特色社会主义理论体系内涵及宣传教育的方法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社会主义核心价值体系内涵及宣传教育方法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党建学相关理论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政治学相关理论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学业指导</w:t>
            </w:r>
          </w:p>
        </w:tc>
        <w:tc>
          <w:tcPr>
            <w:tcW w:w="2410" w:type="dxa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(</w:t>
            </w:r>
            <w:r>
              <w:rPr>
                <w:rFonts w:hint="eastAsia" w:ascii="Times New Roman" w:hAnsi="Times New Roman" w:eastAsia="仿宋_GB2312"/>
                <w:sz w:val="24"/>
              </w:rPr>
              <w:t>一</w:t>
            </w:r>
            <w:r>
              <w:rPr>
                <w:rFonts w:ascii="Times New Roman" w:hAnsi="Times New Roman" w:eastAsia="仿宋_GB2312"/>
                <w:sz w:val="24"/>
              </w:rPr>
              <w:t>)</w:t>
            </w:r>
            <w:r>
              <w:rPr>
                <w:rFonts w:hint="eastAsia" w:ascii="Times New Roman" w:hAnsi="Times New Roman" w:eastAsia="仿宋_GB2312"/>
                <w:sz w:val="24"/>
              </w:rPr>
              <w:t>组织学生参与专业课教师的实验或研究项目，培养学生学术爱好和研究能力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(</w:t>
            </w:r>
            <w:r>
              <w:rPr>
                <w:rFonts w:hint="eastAsia" w:ascii="Times New Roman" w:hAnsi="Times New Roman" w:eastAsia="仿宋_GB2312"/>
                <w:sz w:val="24"/>
              </w:rPr>
              <w:t>二</w:t>
            </w:r>
            <w:r>
              <w:rPr>
                <w:rFonts w:ascii="Times New Roman" w:hAnsi="Times New Roman" w:eastAsia="仿宋_GB2312"/>
                <w:sz w:val="24"/>
              </w:rPr>
              <w:t>)</w:t>
            </w:r>
            <w:r>
              <w:rPr>
                <w:rFonts w:hint="eastAsia" w:ascii="Times New Roman" w:hAnsi="Times New Roman" w:eastAsia="仿宋_GB2312"/>
                <w:sz w:val="24"/>
              </w:rPr>
              <w:t>深入研究学生学习能力、创新能力形成规律，培养学生创新思维和创造性人格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(</w:t>
            </w:r>
            <w:r>
              <w:rPr>
                <w:rFonts w:hint="eastAsia" w:ascii="Times New Roman" w:hAnsi="Times New Roman" w:eastAsia="仿宋_GB2312"/>
                <w:sz w:val="24"/>
              </w:rPr>
              <w:t>三</w:t>
            </w:r>
            <w:r>
              <w:rPr>
                <w:rFonts w:ascii="Times New Roman" w:hAnsi="Times New Roman" w:eastAsia="仿宋_GB2312"/>
                <w:sz w:val="24"/>
              </w:rPr>
              <w:t>)</w:t>
            </w:r>
            <w:r>
              <w:rPr>
                <w:rFonts w:hint="eastAsia" w:ascii="Times New Roman" w:hAnsi="Times New Roman" w:eastAsia="仿宋_GB2312"/>
                <w:sz w:val="24"/>
              </w:rPr>
              <w:t>研究完善学生综合评价体系，研究健全创新人才培养机制</w:t>
            </w:r>
          </w:p>
        </w:tc>
        <w:tc>
          <w:tcPr>
            <w:tcW w:w="2552" w:type="dxa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能深入了解学生所在专业知识，为学生提供有针对性的专业学习建议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能应用心理学、教育学相关原理和知识指导学生学习研究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能因材施教，培养研究型、创新型人才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能够指导和组织初级、中级辅导员开展学业指导工作</w:t>
            </w:r>
          </w:p>
        </w:tc>
        <w:tc>
          <w:tcPr>
            <w:tcW w:w="2318" w:type="dxa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心理学相关知识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教育学相关知识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学生所在专业相关知识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日常事务管理</w:t>
            </w:r>
          </w:p>
        </w:tc>
        <w:tc>
          <w:tcPr>
            <w:tcW w:w="2410" w:type="dxa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积极创新学生事务管理的理念和方法，总结凝练工作经验，深入研究把握学生事务管理的规律，成为学生事务管理专家</w:t>
            </w:r>
            <w:r>
              <w:rPr>
                <w:rFonts w:ascii="Times New Roman" w:hAnsi="Times New Roman" w:eastAsia="仿宋_GB2312" w:cs="宋体"/>
                <w:kern w:val="0"/>
                <w:sz w:val="24"/>
              </w:rPr>
              <w:t>*</w:t>
            </w:r>
          </w:p>
        </w:tc>
        <w:tc>
          <w:tcPr>
            <w:tcW w:w="2552" w:type="dxa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具有长期丰富的事务管理工作经验</w:t>
            </w: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能合理运用教育学、管理学、法学相关知识，对学生事务管理工作进行服务育人体系化设计</w:t>
            </w: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能够熟练利用理论指导辅导员开展学生事务管理工作</w:t>
            </w: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在具有影响力的学术期刊以第一作者身份发表</w:t>
            </w:r>
            <w:r>
              <w:rPr>
                <w:rFonts w:ascii="Times New Roman" w:hAnsi="Times New Roman" w:eastAsia="仿宋_GB2312" w:cs="宋体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篇以上学生事务管理学术论文</w:t>
            </w:r>
          </w:p>
        </w:tc>
        <w:tc>
          <w:tcPr>
            <w:tcW w:w="2318" w:type="dxa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教育学相关知识</w:t>
            </w: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管理学相关知识</w:t>
            </w: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法学相关知识</w:t>
            </w: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学生事务管理相关规定和程序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心理健康教育与咨询</w:t>
            </w:r>
          </w:p>
        </w:tc>
        <w:tc>
          <w:tcPr>
            <w:tcW w:w="2410" w:type="dxa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总结凝练实践工作经验，深入研究把握心理健康教育的规律，成为心理健康教育专家</w:t>
            </w:r>
            <w:r>
              <w:rPr>
                <w:rFonts w:ascii="Times New Roman" w:hAnsi="Times New Roman" w:eastAsia="仿宋_GB2312"/>
                <w:sz w:val="24"/>
              </w:rPr>
              <w:t>*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具备二级心理咨询师资质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能进行危机评估、实施干预、妥善预后及跟踪回访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能够为学生提供心理咨询服务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在具有影响力的学术期刊以第一作者身份发表5篇以上心理健康教育相关领域学术论文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能够熟练利用理论和实际经验指导辅导员开展心理健康教育工作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能够为高校辅导员提供有效的心理健康教育培训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能讲授心理健康教育公共选修课</w:t>
            </w:r>
          </w:p>
        </w:tc>
        <w:tc>
          <w:tcPr>
            <w:tcW w:w="2318" w:type="dxa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心理学相关理论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应用心理学相关理论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思想政治教育心理学相关理论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网络思想政治教育</w:t>
            </w:r>
          </w:p>
        </w:tc>
        <w:tc>
          <w:tcPr>
            <w:tcW w:w="2410" w:type="dxa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熟练应用现代信息技术，结合丰富的网络思想政治教育工作经验，深入研究把握网络传播的规律、研判网上学生思想动态，成为网络思想政治教育专家*</w:t>
            </w:r>
          </w:p>
        </w:tc>
        <w:tc>
          <w:tcPr>
            <w:tcW w:w="2552" w:type="dxa"/>
            <w:vAlign w:val="top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能结合工作经验、运用科学的研究方法对网络思想政治教育开展深入的研究</w:t>
            </w:r>
          </w:p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能在具有影响力的学术期刊以第一作者身份发表5篇以上网络思想政治教育学术论文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能够熟练运用理论指导辅导员开展网络思想政治教育工作</w:t>
            </w:r>
          </w:p>
        </w:tc>
        <w:tc>
          <w:tcPr>
            <w:tcW w:w="2318" w:type="dxa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马克思主义理论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中国特色社会主义理论体系内涵及宣传教育的方法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社会主义核心价值体系内涵及宣传教育方法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网络思想政治教育原理与方法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现代科学技术在思想政治教育中的应用方法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危机事件应对</w:t>
            </w:r>
          </w:p>
        </w:tc>
        <w:tc>
          <w:tcPr>
            <w:tcW w:w="2410" w:type="dxa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(</w:t>
            </w:r>
            <w:r>
              <w:rPr>
                <w:rFonts w:hint="eastAsia" w:ascii="Times New Roman" w:hAnsi="Times New Roman" w:eastAsia="仿宋_GB2312"/>
                <w:sz w:val="24"/>
              </w:rPr>
              <w:t>一</w:t>
            </w:r>
            <w:r>
              <w:rPr>
                <w:rFonts w:ascii="Times New Roman" w:hAnsi="Times New Roman" w:eastAsia="仿宋_GB2312"/>
                <w:sz w:val="24"/>
              </w:rPr>
              <w:t>)</w:t>
            </w:r>
            <w:r>
              <w:rPr>
                <w:rFonts w:hint="eastAsia" w:ascii="Times New Roman" w:hAnsi="Times New Roman" w:eastAsia="仿宋_GB2312"/>
                <w:sz w:val="24"/>
              </w:rPr>
              <w:t>对危机事件进行分类分级，并做出预判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(</w:t>
            </w:r>
            <w:r>
              <w:rPr>
                <w:rFonts w:hint="eastAsia" w:ascii="Times New Roman" w:hAnsi="Times New Roman" w:eastAsia="仿宋_GB2312"/>
                <w:sz w:val="24"/>
              </w:rPr>
              <w:t>二</w:t>
            </w:r>
            <w:r>
              <w:rPr>
                <w:rFonts w:ascii="Times New Roman" w:hAnsi="Times New Roman" w:eastAsia="仿宋_GB2312"/>
                <w:sz w:val="24"/>
              </w:rPr>
              <w:t>)</w:t>
            </w:r>
            <w:r>
              <w:rPr>
                <w:rFonts w:hint="eastAsia" w:ascii="Times New Roman" w:hAnsi="Times New Roman" w:eastAsia="仿宋_GB2312"/>
                <w:sz w:val="24"/>
              </w:rPr>
              <w:t>协调相关部门妥善处理危机事件，稳定工作局面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(</w:t>
            </w:r>
            <w:r>
              <w:rPr>
                <w:rFonts w:hint="eastAsia" w:ascii="Times New Roman" w:hAnsi="Times New Roman" w:eastAsia="仿宋_GB2312"/>
                <w:sz w:val="24"/>
              </w:rPr>
              <w:t>三</w:t>
            </w:r>
            <w:r>
              <w:rPr>
                <w:rFonts w:ascii="Times New Roman" w:hAnsi="Times New Roman" w:eastAsia="仿宋_GB2312"/>
                <w:sz w:val="24"/>
              </w:rPr>
              <w:t>)</w:t>
            </w:r>
            <w:r>
              <w:rPr>
                <w:rFonts w:hint="eastAsia" w:ascii="Times New Roman" w:hAnsi="Times New Roman" w:eastAsia="仿宋_GB2312"/>
                <w:sz w:val="24"/>
              </w:rPr>
              <w:t>总结经验，对工作进行改进，完善预警和应对机制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(</w:t>
            </w:r>
            <w:r>
              <w:rPr>
                <w:rFonts w:hint="eastAsia" w:ascii="Times New Roman" w:hAnsi="Times New Roman" w:eastAsia="仿宋_GB2312"/>
                <w:sz w:val="24"/>
              </w:rPr>
              <w:t>四</w:t>
            </w:r>
            <w:r>
              <w:rPr>
                <w:rFonts w:ascii="Times New Roman" w:hAnsi="Times New Roman" w:eastAsia="仿宋_GB2312"/>
                <w:sz w:val="24"/>
              </w:rPr>
              <w:t>)</w:t>
            </w:r>
            <w:r>
              <w:rPr>
                <w:rFonts w:hint="eastAsia" w:ascii="Times New Roman" w:hAnsi="Times New Roman" w:eastAsia="仿宋_GB2312"/>
                <w:sz w:val="24"/>
              </w:rPr>
              <w:t>总结凝练实践工作经验，深入研究把握危机事件应对的规律，成为校园公共危机管理专家</w:t>
            </w:r>
            <w:r>
              <w:rPr>
                <w:rFonts w:ascii="Times New Roman" w:hAnsi="Times New Roman" w:eastAsia="仿宋_GB2312"/>
                <w:sz w:val="24"/>
              </w:rPr>
              <w:t>*</w:t>
            </w:r>
          </w:p>
        </w:tc>
        <w:tc>
          <w:tcPr>
            <w:tcW w:w="2552" w:type="dxa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能根据掌握的信息对危机事件进行分类分级；能准确分析事态起因，牢牢把握发展趋势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能摸清事态的症结，协调校内外相关部门制定对策并迅速妥善处理，恢复正常</w:t>
            </w:r>
          </w:p>
          <w:p>
            <w:pPr>
              <w:spacing w:line="400" w:lineRule="exact"/>
              <w:jc w:val="lef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能掌握整个事件的过程，深层次研究事件原因，改进工作，提出对策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在具有影响力的学术期刊以第一作者身份发表</w:t>
            </w:r>
            <w:r>
              <w:rPr>
                <w:rFonts w:ascii="Times New Roman" w:hAnsi="Times New Roman" w:eastAsia="仿宋_GB2312"/>
                <w:sz w:val="24"/>
              </w:rPr>
              <w:t>5</w:t>
            </w:r>
            <w:r>
              <w:rPr>
                <w:rFonts w:hint="eastAsia" w:ascii="Times New Roman" w:hAnsi="Times New Roman" w:eastAsia="仿宋_GB2312"/>
                <w:sz w:val="24"/>
              </w:rPr>
              <w:t>篇以上公共危机处理相关领域学术论文；能熟练利用相关理论指导辅导员进行公共危机处理</w:t>
            </w:r>
          </w:p>
        </w:tc>
        <w:tc>
          <w:tcPr>
            <w:tcW w:w="2318" w:type="dxa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危机事件应对与管控的相关知识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公共危机管理相关理论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管理学相关理论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社会学相关理论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心理学相关理论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伦理学相关理论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职业规划与就业指导</w:t>
            </w:r>
          </w:p>
        </w:tc>
        <w:tc>
          <w:tcPr>
            <w:tcW w:w="2410" w:type="dxa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总结凝练实际工作经验，深入研究把握职业生涯规划与就业指导工作的规律，能为学生开展基本的创业指导，成为职业规划与就业指导专家</w:t>
            </w:r>
            <w:r>
              <w:rPr>
                <w:rFonts w:ascii="Times New Roman" w:hAnsi="Times New Roman" w:eastAsia="仿宋_GB2312"/>
                <w:sz w:val="24"/>
              </w:rPr>
              <w:t>*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具备职业指导师资质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能为大学生开展团体职业咨询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能撰写职业指导典型案例，开展职业指导应用性研究，并将研究结果应用到实际工作中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能进行较为客观全面的创业环境、政策、行业前景分析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能</w:t>
            </w:r>
            <w:r>
              <w:rPr>
                <w:rFonts w:ascii="Times New Roman" w:hAnsi="Times New Roman" w:eastAsia="仿宋_GB2312"/>
                <w:sz w:val="24"/>
              </w:rPr>
              <w:t>建立健全</w:t>
            </w:r>
            <w:r>
              <w:rPr>
                <w:rFonts w:hint="eastAsia" w:ascii="Times New Roman" w:hAnsi="Times New Roman" w:eastAsia="仿宋_GB2312"/>
                <w:sz w:val="24"/>
              </w:rPr>
              <w:t>大学生</w:t>
            </w:r>
            <w:r>
              <w:rPr>
                <w:rFonts w:ascii="Times New Roman" w:hAnsi="Times New Roman" w:eastAsia="仿宋_GB2312"/>
                <w:sz w:val="24"/>
              </w:rPr>
              <w:t>就业指导机构和就业信息服务系统，提供</w:t>
            </w:r>
            <w:r>
              <w:rPr>
                <w:rFonts w:hint="eastAsia" w:ascii="Times New Roman" w:hAnsi="Times New Roman" w:eastAsia="仿宋_GB2312"/>
                <w:sz w:val="24"/>
              </w:rPr>
              <w:t>更</w:t>
            </w:r>
            <w:r>
              <w:rPr>
                <w:rFonts w:ascii="Times New Roman" w:hAnsi="Times New Roman" w:eastAsia="仿宋_GB2312"/>
                <w:sz w:val="24"/>
              </w:rPr>
              <w:t>高效优质的就业创业服务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在具有影响力的学术期刊以第一作者身份发表5篇以上职业规划与就业指导相关领域学术论文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能够熟练利用理论指导辅导员开展职业规划与就业指导工作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能讲授职业规划与就业指导公共选修课</w:t>
            </w:r>
          </w:p>
        </w:tc>
        <w:tc>
          <w:tcPr>
            <w:tcW w:w="2318" w:type="dxa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职业生涯规划</w:t>
            </w:r>
            <w:r>
              <w:rPr>
                <w:rFonts w:hint="eastAsia" w:ascii="Times New Roman" w:hAnsi="Times New Roman" w:eastAsia="仿宋_GB2312"/>
                <w:sz w:val="24"/>
              </w:rPr>
              <w:t>相关理论</w:t>
            </w: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人力资源管理相关理论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职业咨询相关理论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职业素质测评相关理论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国家鼓励创业基本政策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理论与实践研究</w:t>
            </w:r>
          </w:p>
        </w:tc>
        <w:tc>
          <w:tcPr>
            <w:tcW w:w="2410" w:type="dxa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（一）参加国际交流、考察和进修深造</w:t>
            </w: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（二）主持省部级以上思想政治教育课题或项目研究；形成具有影响力和推广价值的研究成果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能深入把握国内外学生事务工作前沿进展</w:t>
            </w: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以第一作者身份在相关领域核心期刊发表10篇以上学术论文；能推动研究成果的转化应用；对中级辅导员的研究进行指导</w:t>
            </w:r>
          </w:p>
        </w:tc>
        <w:tc>
          <w:tcPr>
            <w:tcW w:w="2318" w:type="dxa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教育研究方法</w:t>
            </w: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社会学研究方法</w:t>
            </w:r>
          </w:p>
          <w:p>
            <w:pPr>
              <w:spacing w:line="40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管理学相关知识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2"/>
      </w:pPr>
      <w:r>
        <w:rPr>
          <w:rStyle w:val="5"/>
        </w:rPr>
        <w:footnoteRef/>
      </w:r>
      <w:r>
        <w:rPr>
          <w:rFonts w:hint="eastAsia"/>
        </w:rPr>
        <w:t>标</w:t>
      </w:r>
      <w:r>
        <w:t>*</w:t>
      </w:r>
      <w:r>
        <w:rPr>
          <w:rFonts w:hint="eastAsia"/>
        </w:rPr>
        <w:t>项为专家职能，高级辅导员需至少符合一项标</w:t>
      </w:r>
      <w:r>
        <w:t>*</w:t>
      </w:r>
      <w:r>
        <w:rPr>
          <w:rFonts w:hint="eastAsia"/>
        </w:rPr>
        <w:t>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E062B"/>
    <w:rsid w:val="3D9E062B"/>
    <w:rsid w:val="728915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99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uiPriority w:val="99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styleId="5">
    <w:name w:val="footnote reference"/>
    <w:semiHidden/>
    <w:uiPriority w:val="99"/>
    <w:rPr>
      <w:rFonts w:cs="Times New Roman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2019-08-16T01:11:00Z</dcterms:created>
  <dc:creator>起飞</dc:creator>
  <cp:lastModifiedBy>起飞</cp:lastModifiedBy>
  <dcterms:modified xsi:type="dcterms:W3CDTF">2019-08-16T01:11:46Z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